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C0026" w14:textId="77777777" w:rsidR="003C347B" w:rsidRPr="005B0283" w:rsidRDefault="003C347B" w:rsidP="002C61AF">
      <w:pPr>
        <w:spacing w:before="240"/>
        <w:ind w:right="-47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283">
        <w:rPr>
          <w:rFonts w:ascii="Times New Roman" w:hAnsi="Times New Roman" w:cs="Times New Roman"/>
          <w:b/>
          <w:sz w:val="24"/>
          <w:szCs w:val="24"/>
        </w:rPr>
        <w:t xml:space="preserve">Příloha č. 3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Podpora a servis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CEB214" w14:textId="77777777" w:rsidR="003C347B" w:rsidRPr="005B0283" w:rsidRDefault="003C347B" w:rsidP="002C61AF">
      <w:pPr>
        <w:spacing w:before="240"/>
        <w:ind w:right="-4795"/>
        <w:jc w:val="both"/>
        <w:rPr>
          <w:rFonts w:ascii="Times New Roman" w:hAnsi="Times New Roman" w:cs="Times New Roman"/>
          <w:sz w:val="24"/>
          <w:szCs w:val="24"/>
        </w:rPr>
      </w:pPr>
    </w:p>
    <w:p w14:paraId="6692A844" w14:textId="77777777" w:rsidR="003C347B" w:rsidRDefault="003C347B" w:rsidP="002C61AF">
      <w:pPr>
        <w:pStyle w:val="Odstavecseseznamem"/>
        <w:numPr>
          <w:ilvl w:val="0"/>
          <w:numId w:val="5"/>
        </w:numPr>
        <w:spacing w:before="24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Pověření pracovníci objednatele mají právo oznamovat své požadavky ohledně servisu systému prostřednictvím přístupu do servisního portálu dodavatele (HelpDesk) nebo telefonicky. </w:t>
      </w:r>
      <w:bookmarkStart w:id="0" w:name="_Hlk177626028"/>
      <w:r>
        <w:rPr>
          <w:rFonts w:ascii="Times New Roman" w:hAnsi="Times New Roman" w:cs="Times New Roman"/>
          <w:sz w:val="24"/>
          <w:szCs w:val="24"/>
        </w:rPr>
        <w:t>Dojde-li během trvání smlouvy ke změně pověřené osoby, dá tuto skutečnost objednatel dodavateli písemně (např. emailem) na vědomí, přičemž o této skutečnosti není třeba uzavírat dodatek ke smlouvě.</w:t>
      </w:r>
      <w:bookmarkEnd w:id="0"/>
    </w:p>
    <w:p w14:paraId="234E3469" w14:textId="77777777" w:rsidR="003C347B" w:rsidRPr="00DE36D3" w:rsidRDefault="003C347B" w:rsidP="002C61AF">
      <w:pPr>
        <w:pStyle w:val="Odstavecseseznamem"/>
        <w:spacing w:before="240"/>
        <w:ind w:right="-4795"/>
        <w:jc w:val="both"/>
        <w:rPr>
          <w:b/>
        </w:rPr>
      </w:pPr>
      <w:r>
        <w:rPr>
          <w:b/>
        </w:rPr>
        <w:t>Pověře</w:t>
      </w:r>
      <w:r w:rsidRPr="00DE36D3">
        <w:rPr>
          <w:b/>
        </w:rPr>
        <w:t xml:space="preserve">né osoby </w:t>
      </w:r>
      <w:r>
        <w:rPr>
          <w:b/>
        </w:rPr>
        <w:t>objednatele</w:t>
      </w:r>
    </w:p>
    <w:tbl>
      <w:tblPr>
        <w:tblStyle w:val="Mkatabulky"/>
        <w:tblW w:w="8222" w:type="dxa"/>
        <w:tblInd w:w="704" w:type="dxa"/>
        <w:tblLook w:val="04A0" w:firstRow="1" w:lastRow="0" w:firstColumn="1" w:lastColumn="0" w:noHBand="0" w:noVBand="1"/>
      </w:tblPr>
      <w:tblGrid>
        <w:gridCol w:w="4253"/>
        <w:gridCol w:w="1984"/>
        <w:gridCol w:w="1985"/>
      </w:tblGrid>
      <w:tr w:rsidR="002C61AF" w:rsidRPr="00475451" w14:paraId="2F63A1F7" w14:textId="77777777" w:rsidTr="002C61AF">
        <w:tc>
          <w:tcPr>
            <w:tcW w:w="4253" w:type="dxa"/>
            <w:shd w:val="clear" w:color="auto" w:fill="BFBFBF" w:themeFill="background1" w:themeFillShade="BF"/>
          </w:tcPr>
          <w:p w14:paraId="0A3D75B7" w14:textId="77777777" w:rsidR="003C347B" w:rsidRPr="00475451" w:rsidRDefault="003C347B" w:rsidP="002C61AF">
            <w:pPr>
              <w:spacing w:before="240"/>
              <w:ind w:right="-4795"/>
              <w:jc w:val="both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2D9B196" w14:textId="77777777" w:rsidR="003C347B" w:rsidRPr="00475451" w:rsidRDefault="003C347B" w:rsidP="002C61AF">
            <w:pPr>
              <w:spacing w:before="240"/>
              <w:ind w:right="-4795"/>
              <w:jc w:val="both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247ECBF8" w14:textId="77777777" w:rsidR="003C347B" w:rsidRPr="00475451" w:rsidRDefault="003C347B" w:rsidP="002C61AF">
            <w:pPr>
              <w:spacing w:before="240"/>
              <w:ind w:right="-4795"/>
              <w:jc w:val="both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3C347B" w14:paraId="4D227276" w14:textId="77777777" w:rsidTr="002C61AF">
        <w:tc>
          <w:tcPr>
            <w:tcW w:w="4253" w:type="dxa"/>
          </w:tcPr>
          <w:p w14:paraId="1C495567" w14:textId="77777777" w:rsidR="003C347B" w:rsidRPr="00475451" w:rsidRDefault="003C347B" w:rsidP="002C61AF">
            <w:pPr>
              <w:spacing w:before="240"/>
              <w:ind w:right="-4795"/>
              <w:jc w:val="both"/>
              <w:rPr>
                <w:i/>
              </w:rPr>
            </w:pPr>
            <w:r w:rsidRPr="00475451">
              <w:rPr>
                <w:i/>
                <w:highlight w:val="cyan"/>
              </w:rPr>
              <w:t>Doplní objednatel před podpisem smlouvy</w:t>
            </w:r>
          </w:p>
        </w:tc>
        <w:tc>
          <w:tcPr>
            <w:tcW w:w="1984" w:type="dxa"/>
          </w:tcPr>
          <w:p w14:paraId="445E0DA2" w14:textId="77777777" w:rsidR="003C347B" w:rsidRDefault="003C347B" w:rsidP="002C61AF">
            <w:pPr>
              <w:spacing w:before="240"/>
              <w:ind w:right="-4795"/>
              <w:jc w:val="both"/>
            </w:pPr>
          </w:p>
        </w:tc>
        <w:tc>
          <w:tcPr>
            <w:tcW w:w="1985" w:type="dxa"/>
          </w:tcPr>
          <w:p w14:paraId="673DE90C" w14:textId="77777777" w:rsidR="003C347B" w:rsidRDefault="003C347B" w:rsidP="002C61AF">
            <w:pPr>
              <w:spacing w:before="240"/>
              <w:ind w:right="-4795"/>
              <w:jc w:val="both"/>
            </w:pPr>
          </w:p>
        </w:tc>
      </w:tr>
      <w:tr w:rsidR="003C347B" w14:paraId="3EAE0DB0" w14:textId="77777777" w:rsidTr="002C61AF">
        <w:tc>
          <w:tcPr>
            <w:tcW w:w="4253" w:type="dxa"/>
          </w:tcPr>
          <w:p w14:paraId="3D8DF16F" w14:textId="77777777" w:rsidR="003C347B" w:rsidRDefault="003C347B" w:rsidP="002C61AF">
            <w:pPr>
              <w:spacing w:before="240"/>
              <w:ind w:right="-4795"/>
              <w:jc w:val="both"/>
            </w:pPr>
          </w:p>
        </w:tc>
        <w:tc>
          <w:tcPr>
            <w:tcW w:w="1984" w:type="dxa"/>
          </w:tcPr>
          <w:p w14:paraId="0973FDA1" w14:textId="77777777" w:rsidR="003C347B" w:rsidRDefault="003C347B" w:rsidP="002C61AF">
            <w:pPr>
              <w:spacing w:before="240"/>
              <w:ind w:right="-4795"/>
              <w:jc w:val="both"/>
            </w:pPr>
          </w:p>
        </w:tc>
        <w:tc>
          <w:tcPr>
            <w:tcW w:w="1985" w:type="dxa"/>
          </w:tcPr>
          <w:p w14:paraId="41D5B5D9" w14:textId="77777777" w:rsidR="003C347B" w:rsidRDefault="003C347B" w:rsidP="002C61AF">
            <w:pPr>
              <w:spacing w:before="240"/>
              <w:ind w:right="-4795"/>
              <w:jc w:val="both"/>
            </w:pPr>
          </w:p>
        </w:tc>
      </w:tr>
      <w:tr w:rsidR="003C347B" w14:paraId="0FF07590" w14:textId="77777777" w:rsidTr="002C61AF">
        <w:tc>
          <w:tcPr>
            <w:tcW w:w="4253" w:type="dxa"/>
          </w:tcPr>
          <w:p w14:paraId="364FFA32" w14:textId="77777777" w:rsidR="003C347B" w:rsidRDefault="003C347B" w:rsidP="002C61AF">
            <w:pPr>
              <w:spacing w:before="240"/>
              <w:ind w:right="-4795"/>
              <w:jc w:val="both"/>
            </w:pPr>
          </w:p>
        </w:tc>
        <w:tc>
          <w:tcPr>
            <w:tcW w:w="1984" w:type="dxa"/>
          </w:tcPr>
          <w:p w14:paraId="353E212A" w14:textId="77777777" w:rsidR="003C347B" w:rsidRDefault="003C347B" w:rsidP="002C61AF">
            <w:pPr>
              <w:spacing w:before="240"/>
              <w:ind w:right="-4795"/>
              <w:jc w:val="both"/>
            </w:pPr>
          </w:p>
        </w:tc>
        <w:tc>
          <w:tcPr>
            <w:tcW w:w="1985" w:type="dxa"/>
          </w:tcPr>
          <w:p w14:paraId="2B8B094C" w14:textId="77777777" w:rsidR="003C347B" w:rsidRDefault="003C347B" w:rsidP="002C61AF">
            <w:pPr>
              <w:spacing w:before="240"/>
              <w:ind w:right="-4795"/>
              <w:jc w:val="both"/>
            </w:pPr>
          </w:p>
        </w:tc>
      </w:tr>
    </w:tbl>
    <w:p w14:paraId="16DADDB2" w14:textId="77777777" w:rsidR="003C347B" w:rsidRPr="00DE36D3" w:rsidRDefault="003C347B" w:rsidP="002C61AF">
      <w:pPr>
        <w:spacing w:before="240"/>
        <w:ind w:left="360" w:right="-4795"/>
        <w:jc w:val="both"/>
        <w:rPr>
          <w:rFonts w:ascii="Times New Roman" w:hAnsi="Times New Roman" w:cs="Times New Roman"/>
          <w:sz w:val="24"/>
          <w:szCs w:val="24"/>
        </w:rPr>
      </w:pPr>
    </w:p>
    <w:p w14:paraId="6577BAF9" w14:textId="77777777" w:rsidR="003C347B" w:rsidRPr="005B0283" w:rsidRDefault="003C347B" w:rsidP="002C61AF">
      <w:pPr>
        <w:pStyle w:val="Odstavecseseznamem"/>
        <w:numPr>
          <w:ilvl w:val="0"/>
          <w:numId w:val="5"/>
        </w:numPr>
        <w:spacing w:before="24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 xml:space="preserve">Preferovaným způsobem servisních činností </w:t>
      </w:r>
      <w:r>
        <w:rPr>
          <w:rFonts w:ascii="Times New Roman" w:hAnsi="Times New Roman" w:cs="Times New Roman"/>
          <w:sz w:val="24"/>
          <w:szCs w:val="24"/>
        </w:rPr>
        <w:t xml:space="preserve">podpory a oprav </w:t>
      </w:r>
      <w:r w:rsidRPr="005B0283">
        <w:rPr>
          <w:rFonts w:ascii="Times New Roman" w:hAnsi="Times New Roman" w:cs="Times New Roman"/>
          <w:sz w:val="24"/>
          <w:szCs w:val="24"/>
        </w:rPr>
        <w:t xml:space="preserve">je vzdálený přístup dodavatele do infrastruktury objednatele přes VPN. Pokud nebude možné provést opravu či servis formou vzdáleného připojení, bude zásah proveden </w:t>
      </w:r>
      <w:r>
        <w:rPr>
          <w:rFonts w:ascii="Times New Roman" w:hAnsi="Times New Roman" w:cs="Times New Roman"/>
          <w:sz w:val="24"/>
          <w:szCs w:val="24"/>
        </w:rPr>
        <w:t>na místě dle pravidel uvedených v této příloze</w:t>
      </w:r>
      <w:r w:rsidRPr="005B0283">
        <w:rPr>
          <w:rFonts w:ascii="Times New Roman" w:hAnsi="Times New Roman" w:cs="Times New Roman"/>
          <w:sz w:val="24"/>
          <w:szCs w:val="24"/>
        </w:rPr>
        <w:t>.</w:t>
      </w:r>
    </w:p>
    <w:p w14:paraId="3D4CBCF9" w14:textId="77777777" w:rsidR="003C347B" w:rsidRDefault="003C347B" w:rsidP="002C61AF">
      <w:pPr>
        <w:pStyle w:val="Odstavecseseznamem"/>
        <w:numPr>
          <w:ilvl w:val="0"/>
          <w:numId w:val="5"/>
        </w:numPr>
        <w:spacing w:before="24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>Pravidla pro vzdálený přístup do síťové infrastruktury ONN jsou uvedena v příloze č.4 smlouvy: Ujednání o vzdáleném přístupu.</w:t>
      </w:r>
    </w:p>
    <w:p w14:paraId="62DFCA82" w14:textId="77777777" w:rsidR="00762B7B" w:rsidRPr="00157FC5" w:rsidRDefault="00762B7B" w:rsidP="002C61AF">
      <w:pPr>
        <w:pStyle w:val="Odstavecseseznamem"/>
        <w:numPr>
          <w:ilvl w:val="0"/>
          <w:numId w:val="5"/>
        </w:numPr>
        <w:ind w:right="-4795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Rozsah a popis prací servisní služby podpory softwaru a hardwaru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E68BD36" w14:textId="77777777" w:rsidR="00762B7B" w:rsidRDefault="00762B7B" w:rsidP="002C61AF">
      <w:pPr>
        <w:pStyle w:val="Odstavecseseznamem"/>
        <w:numPr>
          <w:ilvl w:val="1"/>
          <w:numId w:val="6"/>
        </w:numPr>
        <w:spacing w:after="12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Telefonická </w:t>
      </w:r>
      <w:r w:rsidRPr="00157FC5">
        <w:rPr>
          <w:rFonts w:ascii="Times New Roman" w:hAnsi="Times New Roman" w:cs="Times New Roman"/>
          <w:sz w:val="24"/>
          <w:szCs w:val="24"/>
        </w:rPr>
        <w:t xml:space="preserve">podpora při řešení problémů </w:t>
      </w:r>
      <w:r>
        <w:rPr>
          <w:rFonts w:ascii="Times New Roman" w:hAnsi="Times New Roman" w:cs="Times New Roman"/>
          <w:sz w:val="24"/>
          <w:szCs w:val="24"/>
        </w:rPr>
        <w:t>na tel. čísle (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t>doplní dodavatel před podpisem smlouvy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57FC5">
        <w:rPr>
          <w:rFonts w:ascii="Times New Roman" w:hAnsi="Times New Roman" w:cs="Times New Roman"/>
          <w:sz w:val="24"/>
          <w:szCs w:val="24"/>
        </w:rPr>
        <w:t>v čase od 7.30 – 15.30 v pracovních dnech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32F8E3E" w14:textId="77777777" w:rsidR="00762B7B" w:rsidRPr="00157FC5" w:rsidRDefault="00762B7B" w:rsidP="002C61AF">
      <w:pPr>
        <w:pStyle w:val="Odstavecseseznamem"/>
        <w:numPr>
          <w:ilvl w:val="1"/>
          <w:numId w:val="6"/>
        </w:numPr>
        <w:spacing w:after="120"/>
        <w:ind w:right="-4795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 xml:space="preserve">Update SW: opravy chyb SW způsobené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157FC5">
        <w:rPr>
          <w:rFonts w:ascii="Times New Roman" w:hAnsi="Times New Roman" w:cs="Times New Roman"/>
          <w:sz w:val="24"/>
          <w:szCs w:val="24"/>
        </w:rPr>
        <w:t>em z hlediska stability systému a úpravy SW z hlediska souladu s aktuálně platnou legislativou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270C141" w14:textId="77777777" w:rsidR="00762B7B" w:rsidRPr="00157FC5" w:rsidRDefault="00762B7B" w:rsidP="002C61AF">
      <w:pPr>
        <w:pStyle w:val="Odstavecseseznamem"/>
        <w:numPr>
          <w:ilvl w:val="1"/>
          <w:numId w:val="6"/>
        </w:numPr>
        <w:spacing w:after="120"/>
        <w:ind w:right="-4795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 xml:space="preserve">Upgrade SW: úpravy anebo vylepšení v rámci zakoupených SW modulů,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157FC5">
        <w:rPr>
          <w:rFonts w:ascii="Times New Roman" w:hAnsi="Times New Roman" w:cs="Times New Roman"/>
          <w:sz w:val="24"/>
          <w:szCs w:val="24"/>
        </w:rPr>
        <w:t xml:space="preserve"> zašle objednateli informaci, že aktualizace jsou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57FC5">
        <w:rPr>
          <w:rFonts w:ascii="Times New Roman" w:hAnsi="Times New Roman" w:cs="Times New Roman"/>
          <w:sz w:val="24"/>
          <w:szCs w:val="24"/>
        </w:rPr>
        <w:t>dispozici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AB2C790" w14:textId="77777777" w:rsidR="00762B7B" w:rsidRPr="00157FC5" w:rsidRDefault="00762B7B" w:rsidP="002C61AF">
      <w:pPr>
        <w:pStyle w:val="Odstavecseseznamem"/>
        <w:numPr>
          <w:ilvl w:val="1"/>
          <w:numId w:val="6"/>
        </w:numPr>
        <w:spacing w:after="120"/>
        <w:ind w:right="-4795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Údržba, přizpůsobení systému a údržba databáze systému:</w:t>
      </w:r>
    </w:p>
    <w:p w14:paraId="579E96D5" w14:textId="77777777" w:rsidR="00762B7B" w:rsidRPr="00157FC5" w:rsidRDefault="00762B7B" w:rsidP="002C61AF">
      <w:pPr>
        <w:pStyle w:val="Odstavecseseznamem"/>
        <w:numPr>
          <w:ilvl w:val="2"/>
          <w:numId w:val="7"/>
        </w:numPr>
        <w:spacing w:after="120"/>
        <w:ind w:right="-4795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překonfigurováni databáze při připojení dalšího oddělení objednatele</w:t>
      </w:r>
    </w:p>
    <w:p w14:paraId="7A0D5A11" w14:textId="77777777" w:rsidR="00762B7B" w:rsidRPr="00157FC5" w:rsidRDefault="00762B7B" w:rsidP="002C61AF">
      <w:pPr>
        <w:pStyle w:val="Odstavecseseznamem"/>
        <w:numPr>
          <w:ilvl w:val="2"/>
          <w:numId w:val="7"/>
        </w:numPr>
        <w:spacing w:after="120"/>
        <w:ind w:right="-4795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 xml:space="preserve">migrace serveru z důvodů organizačních změn v IT </w:t>
      </w:r>
      <w:r>
        <w:rPr>
          <w:rFonts w:ascii="Times New Roman" w:hAnsi="Times New Roman" w:cs="Times New Roman"/>
          <w:sz w:val="24"/>
          <w:szCs w:val="24"/>
        </w:rPr>
        <w:t xml:space="preserve">struktuře </w:t>
      </w:r>
      <w:r w:rsidRPr="00157FC5">
        <w:rPr>
          <w:rFonts w:ascii="Times New Roman" w:hAnsi="Times New Roman" w:cs="Times New Roman"/>
          <w:sz w:val="24"/>
          <w:szCs w:val="24"/>
        </w:rPr>
        <w:t>objednatele</w:t>
      </w:r>
    </w:p>
    <w:p w14:paraId="6D454592" w14:textId="77777777" w:rsidR="00762B7B" w:rsidRPr="00157FC5" w:rsidRDefault="00762B7B" w:rsidP="002C61AF">
      <w:pPr>
        <w:pStyle w:val="Odstavecseseznamem"/>
        <w:numPr>
          <w:ilvl w:val="2"/>
          <w:numId w:val="7"/>
        </w:numPr>
        <w:spacing w:after="120"/>
        <w:ind w:right="-4795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změna nastavení z důvodu změny nastavení bezpečnosti sítě poskytovatele, (bez potřeby zasahováni do zdrojového kódu SW)</w:t>
      </w:r>
    </w:p>
    <w:p w14:paraId="158AD493" w14:textId="77777777" w:rsidR="00762B7B" w:rsidRDefault="00762B7B" w:rsidP="002C61AF">
      <w:pPr>
        <w:pStyle w:val="Odstavecseseznamem"/>
        <w:numPr>
          <w:ilvl w:val="2"/>
          <w:numId w:val="7"/>
        </w:numPr>
        <w:spacing w:after="12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lastRenderedPageBreak/>
        <w:t xml:space="preserve">připojení modalit třetích stran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57FC5">
        <w:rPr>
          <w:rFonts w:ascii="Times New Roman" w:hAnsi="Times New Roman" w:cs="Times New Roman"/>
          <w:sz w:val="24"/>
          <w:szCs w:val="24"/>
        </w:rPr>
        <w:t>USG, RTG, MVF, záznamové zařízení jiných výrobců do</w:t>
      </w:r>
      <w:r>
        <w:rPr>
          <w:rFonts w:ascii="Times New Roman" w:hAnsi="Times New Roman" w:cs="Times New Roman"/>
          <w:sz w:val="24"/>
          <w:szCs w:val="24"/>
        </w:rPr>
        <w:t xml:space="preserve"> dodaného systému apod.)</w:t>
      </w:r>
    </w:p>
    <w:p w14:paraId="0A09B97D" w14:textId="77777777" w:rsidR="00762B7B" w:rsidRPr="005B0283" w:rsidRDefault="00762B7B" w:rsidP="002C61AF">
      <w:pPr>
        <w:pStyle w:val="Odstavecseseznamem"/>
        <w:numPr>
          <w:ilvl w:val="2"/>
          <w:numId w:val="7"/>
        </w:numPr>
        <w:spacing w:after="12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implementace bezpečnostních záplat a úprav na základě zjištěných zranitelností nebo doporučení Národního úřadu pro kybernetickou a informační bezpečnost (NÚKIB). </w:t>
      </w:r>
    </w:p>
    <w:p w14:paraId="736EA74F" w14:textId="77777777" w:rsidR="00362828" w:rsidRPr="00362828" w:rsidRDefault="00362828" w:rsidP="002C61AF">
      <w:pPr>
        <w:pStyle w:val="Odstavecseseznamem"/>
        <w:spacing w:before="240"/>
        <w:ind w:left="1080" w:right="-4795"/>
        <w:jc w:val="both"/>
        <w:rPr>
          <w:rFonts w:ascii="Times New Roman" w:hAnsi="Times New Roman" w:cs="Times New Roman"/>
          <w:sz w:val="24"/>
          <w:szCs w:val="24"/>
        </w:rPr>
      </w:pPr>
    </w:p>
    <w:p w14:paraId="03189019" w14:textId="77777777" w:rsidR="003C347B" w:rsidRPr="00705A3F" w:rsidRDefault="003C347B" w:rsidP="002C61AF">
      <w:pPr>
        <w:pStyle w:val="Odstavecseseznamem"/>
        <w:numPr>
          <w:ilvl w:val="0"/>
          <w:numId w:val="5"/>
        </w:numPr>
        <w:spacing w:before="240"/>
        <w:ind w:right="-4795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3F">
        <w:rPr>
          <w:rFonts w:ascii="Times New Roman" w:hAnsi="Times New Roman" w:cs="Times New Roman"/>
          <w:b/>
          <w:sz w:val="24"/>
          <w:szCs w:val="24"/>
        </w:rPr>
        <w:t>Kategorie nahlášených událostí:</w:t>
      </w:r>
    </w:p>
    <w:p w14:paraId="70787522" w14:textId="7C5EAC9C" w:rsidR="00762B7B" w:rsidRDefault="003C347B" w:rsidP="002C61AF">
      <w:pPr>
        <w:pStyle w:val="Odstavecseseznamem"/>
        <w:numPr>
          <w:ilvl w:val="2"/>
          <w:numId w:val="5"/>
        </w:numPr>
        <w:spacing w:before="240" w:after="0"/>
        <w:ind w:right="-4795"/>
        <w:jc w:val="both"/>
        <w:rPr>
          <w:rFonts w:ascii="Times New Roman" w:hAnsi="Times New Roman" w:cs="Times New Roman"/>
          <w:sz w:val="24"/>
          <w:szCs w:val="24"/>
        </w:rPr>
      </w:pPr>
      <w:r w:rsidRPr="00FC3E6E">
        <w:rPr>
          <w:rFonts w:ascii="Times New Roman" w:hAnsi="Times New Roman" w:cs="Times New Roman"/>
          <w:b/>
          <w:sz w:val="24"/>
          <w:szCs w:val="24"/>
        </w:rPr>
        <w:t>Havárie</w:t>
      </w:r>
      <w:r w:rsidRPr="00FC3E6E">
        <w:rPr>
          <w:rFonts w:ascii="Times New Roman" w:hAnsi="Times New Roman" w:cs="Times New Roman"/>
          <w:b/>
          <w:sz w:val="24"/>
          <w:szCs w:val="24"/>
        </w:rPr>
        <w:br/>
      </w:r>
      <w:r w:rsidR="00762B7B" w:rsidRPr="00762B7B">
        <w:rPr>
          <w:rFonts w:ascii="Times New Roman" w:hAnsi="Times New Roman" w:cs="Times New Roman"/>
          <w:sz w:val="24"/>
          <w:szCs w:val="24"/>
        </w:rPr>
        <w:t>je myšlen závažný stav, při kterém není možné dodávaný systém řádně využívat k účelům, ke kterým byl pořízen, nebo stav, ve kterém by mohlo dojít k poškození či ztrátě pořizovaných dat. Dále je to stav, při kterém by mohly hardwarové komponenty poškodit zdraví osob či způsobit poruchu jiných zařízení.</w:t>
      </w:r>
    </w:p>
    <w:p w14:paraId="5F39954C" w14:textId="77777777" w:rsidR="003C347B" w:rsidRPr="008A29F1" w:rsidRDefault="003C347B" w:rsidP="002C61AF">
      <w:pPr>
        <w:pStyle w:val="Odstavecseseznamem"/>
        <w:spacing w:before="240"/>
        <w:ind w:left="2160" w:right="-4795"/>
        <w:jc w:val="both"/>
        <w:rPr>
          <w:rFonts w:ascii="Times New Roman" w:hAnsi="Times New Roman" w:cs="Times New Roman"/>
          <w:sz w:val="24"/>
          <w:szCs w:val="24"/>
        </w:rPr>
      </w:pPr>
    </w:p>
    <w:p w14:paraId="3F21748D" w14:textId="77777777" w:rsidR="003C347B" w:rsidRDefault="003C347B" w:rsidP="002C61AF">
      <w:pPr>
        <w:pStyle w:val="Odstavecseseznamem"/>
        <w:numPr>
          <w:ilvl w:val="2"/>
          <w:numId w:val="5"/>
        </w:numPr>
        <w:spacing w:before="240"/>
        <w:ind w:right="-4795"/>
        <w:jc w:val="both"/>
        <w:rPr>
          <w:rFonts w:ascii="Times New Roman" w:hAnsi="Times New Roman" w:cs="Times New Roman"/>
          <w:sz w:val="24"/>
          <w:szCs w:val="24"/>
        </w:rPr>
      </w:pPr>
      <w:r w:rsidRPr="003A049E">
        <w:rPr>
          <w:rFonts w:ascii="Times New Roman" w:hAnsi="Times New Roman" w:cs="Times New Roman"/>
          <w:b/>
          <w:sz w:val="24"/>
          <w:szCs w:val="24"/>
        </w:rPr>
        <w:t>Porucha</w:t>
      </w:r>
      <w:r w:rsidRPr="003A04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493E86" w14:textId="77777777" w:rsidR="00762B7B" w:rsidRDefault="00762B7B" w:rsidP="002C61AF">
      <w:pPr>
        <w:spacing w:before="240"/>
        <w:ind w:left="2124" w:right="-4795"/>
        <w:jc w:val="both"/>
        <w:rPr>
          <w:rFonts w:ascii="Times New Roman" w:hAnsi="Times New Roman" w:cs="Times New Roman"/>
          <w:sz w:val="24"/>
          <w:szCs w:val="24"/>
        </w:rPr>
      </w:pPr>
      <w:r w:rsidRPr="00762B7B">
        <w:rPr>
          <w:rFonts w:ascii="Times New Roman" w:hAnsi="Times New Roman" w:cs="Times New Roman"/>
          <w:sz w:val="24"/>
          <w:szCs w:val="24"/>
        </w:rPr>
        <w:t>je myšlen méně závažný stav, při kterém vykazuje dodávaný systém vady, ale který umožňuje jeho užívání v dostatečném rozsahu zajišťujícím původní účel dodávaného systému.</w:t>
      </w:r>
    </w:p>
    <w:p w14:paraId="0ACAE8E8" w14:textId="77777777" w:rsidR="003C347B" w:rsidRDefault="003C347B" w:rsidP="002C61AF">
      <w:pPr>
        <w:pStyle w:val="Odstavecseseznamem"/>
        <w:numPr>
          <w:ilvl w:val="0"/>
          <w:numId w:val="5"/>
        </w:numPr>
        <w:spacing w:before="24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</w:t>
      </w:r>
      <w:r w:rsidRPr="001C64B4">
        <w:rPr>
          <w:rFonts w:ascii="Times New Roman" w:hAnsi="Times New Roman" w:cs="Times New Roman"/>
          <w:sz w:val="24"/>
          <w:szCs w:val="24"/>
        </w:rPr>
        <w:t xml:space="preserve"> v rámci sjednaného měsíčního paušálu hradí náklady spojené s dopravou technika na místo opravy, práci servisního technika a všechny úkony související s plněním dle této Smlouvy. Objednatel zabezpečí ve svém areálu pro servisního technika bezplatné parkování.</w:t>
      </w:r>
    </w:p>
    <w:p w14:paraId="59678737" w14:textId="7918AA5F" w:rsidR="00762B7B" w:rsidRPr="00762B7B" w:rsidRDefault="00762B7B" w:rsidP="002C61AF">
      <w:pPr>
        <w:pStyle w:val="Odstavecseseznamem"/>
        <w:numPr>
          <w:ilvl w:val="0"/>
          <w:numId w:val="5"/>
        </w:numPr>
        <w:spacing w:before="240"/>
        <w:ind w:right="-4795"/>
        <w:jc w:val="both"/>
        <w:rPr>
          <w:rFonts w:ascii="Times New Roman" w:hAnsi="Times New Roman" w:cs="Times New Roman"/>
          <w:sz w:val="24"/>
          <w:szCs w:val="24"/>
        </w:rPr>
      </w:pPr>
      <w:r w:rsidRPr="00762B7B">
        <w:rPr>
          <w:rFonts w:ascii="Times New Roman" w:hAnsi="Times New Roman" w:cs="Times New Roman"/>
          <w:sz w:val="24"/>
          <w:szCs w:val="24"/>
        </w:rPr>
        <w:t>Objednatel ohlásí vadu dodavateli bezodkladně ihned po jejím zjištění buď zápisem do záznamu v systému HelpDesk, nebo telefonicky na čísle [</w:t>
      </w:r>
      <w:r w:rsidRPr="00762B7B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 w:rsidRPr="00762B7B">
        <w:rPr>
          <w:rFonts w:ascii="Times New Roman" w:hAnsi="Times New Roman" w:cs="Times New Roman"/>
          <w:sz w:val="24"/>
          <w:szCs w:val="24"/>
        </w:rPr>
        <w:t xml:space="preserve"> před podpisem smlouvy],  nebo písemně na e-mailovou adresu [</w:t>
      </w:r>
      <w:r w:rsidRPr="00762B7B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 w:rsidRPr="00762B7B">
        <w:rPr>
          <w:rFonts w:ascii="Times New Roman" w:hAnsi="Times New Roman" w:cs="Times New Roman"/>
          <w:sz w:val="24"/>
          <w:szCs w:val="24"/>
        </w:rPr>
        <w:t xml:space="preserve"> před podpisem smlouvy]. Čas zápisu do systému HelpDesk, respektive odeslání emailu nebo telefonického hovoru, se považuje za nahlášení vady, došlo-li k tomu v pracovní den v čase od 7:30 do 15:30. V případě nahlášení mimo uvedenou dobu se za čas nahlášení považuje čas 7:30 v nejbližším pracovním dni. </w:t>
      </w:r>
    </w:p>
    <w:p w14:paraId="671326A8" w14:textId="77777777" w:rsidR="00762B7B" w:rsidRPr="006D6AA3" w:rsidRDefault="00762B7B" w:rsidP="002C61AF">
      <w:pPr>
        <w:pStyle w:val="Odstavecseseznamem"/>
        <w:numPr>
          <w:ilvl w:val="0"/>
          <w:numId w:val="5"/>
        </w:numPr>
        <w:spacing w:after="12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je povinen nastoupit k odstranění nahlášené vady </w:t>
      </w:r>
      <w:r w:rsidRPr="00157FC5">
        <w:rPr>
          <w:rFonts w:ascii="Times New Roman" w:hAnsi="Times New Roman" w:cs="Times New Roman"/>
          <w:sz w:val="24"/>
          <w:szCs w:val="24"/>
        </w:rPr>
        <w:t>vzdáleným přístupem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bez zbytečného odkladu, nejpozději však do </w:t>
      </w:r>
      <w:r w:rsidRPr="00EB208C">
        <w:rPr>
          <w:rFonts w:ascii="Times New Roman" w:hAnsi="Times New Roman" w:cs="Times New Roman"/>
          <w:b/>
          <w:sz w:val="24"/>
          <w:szCs w:val="24"/>
        </w:rPr>
        <w:t>8 hodin</w:t>
      </w:r>
      <w:r w:rsidRPr="006D6AA3">
        <w:rPr>
          <w:rFonts w:ascii="Times New Roman" w:hAnsi="Times New Roman" w:cs="Times New Roman"/>
          <w:sz w:val="24"/>
          <w:szCs w:val="24"/>
        </w:rPr>
        <w:t xml:space="preserve"> od okamžiku nahlášení vady, nedohodnou-li se smluvní strany písemně na lhůtě delší. Tato dohoda může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být provedena formou písemného zápisu či formou emailového potvrzení odpovědnými zaměstnanci obou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smluvních stran.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1964">
        <w:rPr>
          <w:rFonts w:ascii="Times New Roman" w:hAnsi="Times New Roman" w:cs="Times New Roman"/>
          <w:sz w:val="24"/>
          <w:szCs w:val="24"/>
        </w:rPr>
        <w:t xml:space="preserve">V případě nutnosti </w:t>
      </w:r>
      <w:r w:rsidRPr="00157FC5">
        <w:rPr>
          <w:rFonts w:ascii="Times New Roman" w:hAnsi="Times New Roman" w:cs="Times New Roman"/>
          <w:sz w:val="24"/>
          <w:szCs w:val="24"/>
        </w:rPr>
        <w:t>fyzické přítomnosti</w:t>
      </w:r>
      <w:r w:rsidRPr="002D1964">
        <w:rPr>
          <w:rFonts w:ascii="Times New Roman" w:hAnsi="Times New Roman" w:cs="Times New Roman"/>
          <w:sz w:val="24"/>
          <w:szCs w:val="24"/>
        </w:rPr>
        <w:t xml:space="preserve"> technika na pracovišti objednatele, bude garantovaný nástup na řešení havárie do </w:t>
      </w:r>
      <w:r w:rsidRPr="00FB4D25">
        <w:rPr>
          <w:rFonts w:ascii="Times New Roman" w:hAnsi="Times New Roman" w:cs="Times New Roman"/>
          <w:b/>
          <w:sz w:val="24"/>
          <w:szCs w:val="24"/>
        </w:rPr>
        <w:t>3 hodin</w:t>
      </w:r>
      <w:r w:rsidRPr="002D1964">
        <w:rPr>
          <w:rFonts w:ascii="Times New Roman" w:hAnsi="Times New Roman" w:cs="Times New Roman"/>
          <w:sz w:val="24"/>
          <w:szCs w:val="24"/>
        </w:rPr>
        <w:t xml:space="preserve"> od jejího nahlášení.</w:t>
      </w:r>
      <w:r>
        <w:rPr>
          <w:rFonts w:ascii="Times New Roman" w:hAnsi="Times New Roman" w:cs="Times New Roman"/>
          <w:sz w:val="24"/>
          <w:szCs w:val="24"/>
        </w:rPr>
        <w:t xml:space="preserve"> Časem zahájení servisní činnosti je čas požadavku o vzdálený přístup přes VPN, respektive čas příchodu technika na pracoviště objednatele.</w:t>
      </w:r>
    </w:p>
    <w:p w14:paraId="64BEE235" w14:textId="77777777" w:rsidR="00762B7B" w:rsidRPr="006D6AA3" w:rsidRDefault="00762B7B" w:rsidP="002C61AF">
      <w:pPr>
        <w:pStyle w:val="Odstavecseseznamem"/>
        <w:numPr>
          <w:ilvl w:val="0"/>
          <w:numId w:val="5"/>
        </w:numPr>
        <w:spacing w:after="12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je povinen odstranit nahlášené vady bez zbytečného odkladu, nejpozději však do </w:t>
      </w:r>
      <w:r w:rsidRPr="00FB4D25">
        <w:rPr>
          <w:rFonts w:ascii="Times New Roman" w:hAnsi="Times New Roman" w:cs="Times New Roman"/>
          <w:b/>
          <w:sz w:val="24"/>
          <w:szCs w:val="24"/>
        </w:rPr>
        <w:t>3 dnů</w:t>
      </w:r>
      <w:r w:rsidRPr="006D6AA3">
        <w:rPr>
          <w:rFonts w:ascii="Times New Roman" w:hAnsi="Times New Roman" w:cs="Times New Roman"/>
          <w:sz w:val="24"/>
          <w:szCs w:val="24"/>
        </w:rPr>
        <w:t xml:space="preserve"> ode dne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nahlášení vady, nedohodnou-li se smluvní strany písemně na lhůtě </w:t>
      </w:r>
      <w:r w:rsidRPr="006D6AA3">
        <w:rPr>
          <w:rFonts w:ascii="Times New Roman" w:hAnsi="Times New Roman" w:cs="Times New Roman"/>
          <w:sz w:val="24"/>
          <w:szCs w:val="24"/>
        </w:rPr>
        <w:lastRenderedPageBreak/>
        <w:t>delší. Tato dohoda může být provedena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formou písemného zápisu či formou emailového potvrzení odpovědnými zaměstnanci obou smluvních stran.</w:t>
      </w:r>
    </w:p>
    <w:p w14:paraId="09F8E9AB" w14:textId="77777777" w:rsidR="00762B7B" w:rsidRPr="006D6AA3" w:rsidRDefault="00762B7B" w:rsidP="002C61AF">
      <w:pPr>
        <w:pStyle w:val="Odstavecseseznamem"/>
        <w:numPr>
          <w:ilvl w:val="0"/>
          <w:numId w:val="5"/>
        </w:numPr>
        <w:spacing w:after="12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AA3">
        <w:rPr>
          <w:rFonts w:ascii="Times New Roman" w:hAnsi="Times New Roman" w:cs="Times New Roman"/>
          <w:sz w:val="24"/>
          <w:szCs w:val="24"/>
        </w:rPr>
        <w:t xml:space="preserve">V případě opravy trvající déle než </w:t>
      </w:r>
      <w:r w:rsidRPr="00FB4D25">
        <w:rPr>
          <w:rFonts w:ascii="Times New Roman" w:hAnsi="Times New Roman" w:cs="Times New Roman"/>
          <w:b/>
          <w:sz w:val="24"/>
          <w:szCs w:val="24"/>
        </w:rPr>
        <w:t>3 dny</w:t>
      </w:r>
      <w:r w:rsidRPr="006D6AA3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povinen po dobu opravy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6D6AA3">
        <w:rPr>
          <w:rFonts w:ascii="Times New Roman" w:hAnsi="Times New Roman" w:cs="Times New Roman"/>
          <w:sz w:val="24"/>
          <w:szCs w:val="24"/>
        </w:rPr>
        <w:t>ezplatně zapůjčit náhradní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přístroj s odpovídajícími technickými parametry jako vadný přístroj, nedohodnou-li se smluvní strany písemně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na jiných technických parametrech.</w:t>
      </w:r>
    </w:p>
    <w:p w14:paraId="2D28F381" w14:textId="5A227452" w:rsidR="00762B7B" w:rsidRPr="006D6AA3" w:rsidRDefault="00762B7B" w:rsidP="002C61AF">
      <w:pPr>
        <w:pStyle w:val="Odstavecseseznamem"/>
        <w:numPr>
          <w:ilvl w:val="0"/>
          <w:numId w:val="5"/>
        </w:numPr>
        <w:spacing w:after="12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AA3">
        <w:rPr>
          <w:rFonts w:ascii="Times New Roman" w:hAnsi="Times New Roman" w:cs="Times New Roman"/>
          <w:sz w:val="24"/>
          <w:szCs w:val="24"/>
        </w:rPr>
        <w:t xml:space="preserve">V případě, že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nenastoupí k odstranění nahlášené vady ve lhůtě podle odstavce </w:t>
      </w:r>
      <w:r w:rsidR="00DF15E3">
        <w:rPr>
          <w:rFonts w:ascii="Times New Roman" w:hAnsi="Times New Roman" w:cs="Times New Roman"/>
          <w:sz w:val="24"/>
          <w:szCs w:val="24"/>
        </w:rPr>
        <w:t>8</w:t>
      </w:r>
      <w:r w:rsidRPr="006D6AA3">
        <w:rPr>
          <w:rFonts w:ascii="Times New Roman" w:hAnsi="Times New Roman" w:cs="Times New Roman"/>
          <w:sz w:val="24"/>
          <w:szCs w:val="24"/>
        </w:rPr>
        <w:t>. tohoto článku,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povinen uhradit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6D6AA3">
        <w:rPr>
          <w:rFonts w:ascii="Times New Roman" w:hAnsi="Times New Roman" w:cs="Times New Roman"/>
          <w:sz w:val="24"/>
          <w:szCs w:val="24"/>
        </w:rPr>
        <w:t xml:space="preserve"> smluvní pokutu ve výši </w:t>
      </w:r>
      <w:r>
        <w:rPr>
          <w:rFonts w:ascii="Times New Roman" w:hAnsi="Times New Roman" w:cs="Times New Roman"/>
          <w:sz w:val="24"/>
          <w:szCs w:val="24"/>
        </w:rPr>
        <w:t>2000,-</w:t>
      </w:r>
      <w:r w:rsidRPr="006D6A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Kč </w:t>
      </w:r>
      <w:r w:rsidRPr="006D6AA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bez </w:t>
      </w:r>
      <w:r w:rsidRPr="006D6AA3">
        <w:rPr>
          <w:rFonts w:ascii="Times New Roman" w:hAnsi="Times New Roman" w:cs="Times New Roman"/>
          <w:sz w:val="24"/>
          <w:szCs w:val="24"/>
        </w:rPr>
        <w:t>DPH), a to za každ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6D6AA3">
        <w:rPr>
          <w:rFonts w:ascii="Times New Roman" w:hAnsi="Times New Roman" w:cs="Times New Roman"/>
          <w:sz w:val="24"/>
          <w:szCs w:val="24"/>
        </w:rPr>
        <w:t xml:space="preserve"> započat</w:t>
      </w:r>
      <w:r>
        <w:rPr>
          <w:rFonts w:ascii="Times New Roman" w:hAnsi="Times New Roman" w:cs="Times New Roman"/>
          <w:sz w:val="24"/>
          <w:szCs w:val="24"/>
        </w:rPr>
        <w:t>ou hodinu</w:t>
      </w:r>
      <w:r w:rsidRPr="006D6AA3">
        <w:rPr>
          <w:rFonts w:ascii="Times New Roman" w:hAnsi="Times New Roman" w:cs="Times New Roman"/>
          <w:sz w:val="24"/>
          <w:szCs w:val="24"/>
        </w:rPr>
        <w:t xml:space="preserve"> prodlení. Nárok </w:t>
      </w:r>
      <w:r>
        <w:rPr>
          <w:rFonts w:ascii="Times New Roman" w:hAnsi="Times New Roman" w:cs="Times New Roman"/>
          <w:sz w:val="24"/>
          <w:szCs w:val="24"/>
        </w:rPr>
        <w:t>objednatele</w:t>
      </w:r>
      <w:r w:rsidRPr="006D6AA3">
        <w:rPr>
          <w:rFonts w:ascii="Times New Roman" w:hAnsi="Times New Roman" w:cs="Times New Roman"/>
          <w:sz w:val="24"/>
          <w:szCs w:val="24"/>
        </w:rPr>
        <w:t xml:space="preserve"> na náhradu škody tím není dotčen.</w:t>
      </w:r>
    </w:p>
    <w:p w14:paraId="1712600D" w14:textId="730C5069" w:rsidR="00762B7B" w:rsidRPr="006D6AA3" w:rsidRDefault="00762B7B" w:rsidP="002C61AF">
      <w:pPr>
        <w:pStyle w:val="Odstavecseseznamem"/>
        <w:numPr>
          <w:ilvl w:val="0"/>
          <w:numId w:val="5"/>
        </w:numPr>
        <w:spacing w:after="12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AA3">
        <w:rPr>
          <w:rFonts w:ascii="Times New Roman" w:hAnsi="Times New Roman" w:cs="Times New Roman"/>
          <w:sz w:val="24"/>
          <w:szCs w:val="24"/>
        </w:rPr>
        <w:t xml:space="preserve">V případě, že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neodstraní vadu nahlášenou ve lhůtě podle odstavce </w:t>
      </w:r>
      <w:r w:rsidR="00DF15E3">
        <w:rPr>
          <w:rFonts w:ascii="Times New Roman" w:hAnsi="Times New Roman" w:cs="Times New Roman"/>
          <w:sz w:val="24"/>
          <w:szCs w:val="24"/>
        </w:rPr>
        <w:t>9</w:t>
      </w:r>
      <w:r w:rsidRPr="006D6A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tohoto článku nebo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v případě opravy trvající déle než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57FC5">
        <w:rPr>
          <w:rFonts w:ascii="Times New Roman" w:hAnsi="Times New Roman" w:cs="Times New Roman"/>
          <w:sz w:val="24"/>
          <w:szCs w:val="24"/>
        </w:rPr>
        <w:t xml:space="preserve"> dn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D6AA3">
        <w:rPr>
          <w:rFonts w:ascii="Times New Roman" w:hAnsi="Times New Roman" w:cs="Times New Roman"/>
          <w:sz w:val="24"/>
          <w:szCs w:val="24"/>
        </w:rPr>
        <w:t xml:space="preserve"> nezapůjčí náhradní přístroj s odpovídajícími technickými parametry</w:t>
      </w:r>
      <w:r>
        <w:rPr>
          <w:rFonts w:ascii="Times New Roman" w:hAnsi="Times New Roman" w:cs="Times New Roman"/>
          <w:sz w:val="24"/>
          <w:szCs w:val="24"/>
        </w:rPr>
        <w:t xml:space="preserve"> dle odstavce 1</w:t>
      </w:r>
      <w:r w:rsidR="00DF15E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 tohoto článku</w:t>
      </w:r>
      <w:r w:rsidRPr="006D6A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povinen uhradit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6D6AA3">
        <w:rPr>
          <w:rFonts w:ascii="Times New Roman" w:hAnsi="Times New Roman" w:cs="Times New Roman"/>
          <w:sz w:val="24"/>
          <w:szCs w:val="24"/>
        </w:rPr>
        <w:t xml:space="preserve"> smluvní pokutu ve výši </w:t>
      </w:r>
      <w:r>
        <w:rPr>
          <w:rFonts w:ascii="Times New Roman" w:hAnsi="Times New Roman" w:cs="Times New Roman"/>
          <w:sz w:val="24"/>
          <w:szCs w:val="24"/>
        </w:rPr>
        <w:t>4000,- Kč</w:t>
      </w:r>
      <w:r w:rsidRPr="006D6AA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bez </w:t>
      </w:r>
      <w:r w:rsidRPr="006D6AA3">
        <w:rPr>
          <w:rFonts w:ascii="Times New Roman" w:hAnsi="Times New Roman" w:cs="Times New Roman"/>
          <w:sz w:val="24"/>
          <w:szCs w:val="24"/>
        </w:rPr>
        <w:t xml:space="preserve">DPH), a to za každý i započatý den prodlení. Nárok </w:t>
      </w:r>
      <w:r>
        <w:rPr>
          <w:rFonts w:ascii="Times New Roman" w:hAnsi="Times New Roman" w:cs="Times New Roman"/>
          <w:sz w:val="24"/>
          <w:szCs w:val="24"/>
        </w:rPr>
        <w:t>objednatele</w:t>
      </w:r>
      <w:r w:rsidRPr="006D6AA3">
        <w:rPr>
          <w:rFonts w:ascii="Times New Roman" w:hAnsi="Times New Roman" w:cs="Times New Roman"/>
          <w:sz w:val="24"/>
          <w:szCs w:val="24"/>
        </w:rPr>
        <w:t xml:space="preserve"> na náhradu škody tím není dotčen.</w:t>
      </w:r>
    </w:p>
    <w:p w14:paraId="36FB9170" w14:textId="5324CFFA" w:rsidR="00762B7B" w:rsidRPr="006D6AA3" w:rsidRDefault="00762B7B" w:rsidP="002C61AF">
      <w:pPr>
        <w:pStyle w:val="Odstavecseseznamem"/>
        <w:numPr>
          <w:ilvl w:val="0"/>
          <w:numId w:val="5"/>
        </w:numPr>
        <w:spacing w:after="120"/>
        <w:ind w:right="-47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AA3">
        <w:rPr>
          <w:rFonts w:ascii="Times New Roman" w:hAnsi="Times New Roman" w:cs="Times New Roman"/>
          <w:sz w:val="24"/>
          <w:szCs w:val="24"/>
        </w:rPr>
        <w:t xml:space="preserve">Neodstraní-li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vady předmětu plnění v souladu s touto smlouvou řádně a včas, a to ani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D6AA3">
        <w:rPr>
          <w:rFonts w:ascii="Times New Roman" w:hAnsi="Times New Roman" w:cs="Times New Roman"/>
          <w:sz w:val="24"/>
          <w:szCs w:val="24"/>
        </w:rPr>
        <w:t>dodatečné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přiměřené lhůtě poskytnuté mu k tomu </w:t>
      </w:r>
      <w:r>
        <w:rPr>
          <w:rFonts w:ascii="Times New Roman" w:hAnsi="Times New Roman" w:cs="Times New Roman"/>
          <w:sz w:val="24"/>
          <w:szCs w:val="24"/>
        </w:rPr>
        <w:t>objednatelem</w:t>
      </w:r>
      <w:r w:rsidRPr="006D6AA3">
        <w:rPr>
          <w:rFonts w:ascii="Times New Roman" w:hAnsi="Times New Roman" w:cs="Times New Roman"/>
          <w:sz w:val="24"/>
          <w:szCs w:val="24"/>
        </w:rPr>
        <w:t xml:space="preserve">, je </w:t>
      </w:r>
      <w:r>
        <w:rPr>
          <w:rFonts w:ascii="Times New Roman" w:hAnsi="Times New Roman" w:cs="Times New Roman"/>
          <w:sz w:val="24"/>
          <w:szCs w:val="24"/>
        </w:rPr>
        <w:t>objednatel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oprávněn nechat odstranit vady předmětu třetí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osobou.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se pak zavazuje nahradit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6D6AA3">
        <w:rPr>
          <w:rFonts w:ascii="Times New Roman" w:hAnsi="Times New Roman" w:cs="Times New Roman"/>
          <w:sz w:val="24"/>
          <w:szCs w:val="24"/>
        </w:rPr>
        <w:t xml:space="preserve"> veškeré účelně vynaložené a prokázané náklady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odstranění vad předmětu plnění třetí osobou. Tímto není dotčen nárok </w:t>
      </w:r>
      <w:r>
        <w:rPr>
          <w:rFonts w:ascii="Times New Roman" w:hAnsi="Times New Roman" w:cs="Times New Roman"/>
          <w:sz w:val="24"/>
          <w:szCs w:val="24"/>
        </w:rPr>
        <w:t>objednatele</w:t>
      </w:r>
      <w:r w:rsidRPr="006D6AA3">
        <w:rPr>
          <w:rFonts w:ascii="Times New Roman" w:hAnsi="Times New Roman" w:cs="Times New Roman"/>
          <w:sz w:val="24"/>
          <w:szCs w:val="24"/>
        </w:rPr>
        <w:t xml:space="preserve"> na náhradu škody, jakož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ani nárok na zaplacení smluvní pokuty dle odstavce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F15E3">
        <w:rPr>
          <w:rFonts w:ascii="Times New Roman" w:hAnsi="Times New Roman" w:cs="Times New Roman"/>
          <w:sz w:val="24"/>
          <w:szCs w:val="24"/>
        </w:rPr>
        <w:t>1</w:t>
      </w:r>
      <w:r w:rsidRPr="006D6AA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 1</w:t>
      </w:r>
      <w:r w:rsidR="00DF15E3">
        <w:rPr>
          <w:rFonts w:ascii="Times New Roman" w:hAnsi="Times New Roman" w:cs="Times New Roman"/>
          <w:sz w:val="24"/>
          <w:szCs w:val="24"/>
        </w:rPr>
        <w:t>2</w:t>
      </w:r>
      <w:r w:rsidRPr="006D6AA3">
        <w:rPr>
          <w:rFonts w:ascii="Times New Roman" w:hAnsi="Times New Roman" w:cs="Times New Roman"/>
          <w:sz w:val="24"/>
          <w:szCs w:val="24"/>
        </w:rPr>
        <w:t>. tohoto článku.</w:t>
      </w:r>
    </w:p>
    <w:p w14:paraId="62579F0E" w14:textId="77777777" w:rsidR="003C347B" w:rsidRDefault="003C347B" w:rsidP="002C61AF">
      <w:pPr>
        <w:spacing w:before="240"/>
        <w:ind w:right="-4795"/>
        <w:jc w:val="both"/>
        <w:rPr>
          <w:rFonts w:ascii="Times New Roman" w:hAnsi="Times New Roman" w:cs="Times New Roman"/>
          <w:sz w:val="24"/>
          <w:szCs w:val="24"/>
        </w:rPr>
      </w:pPr>
    </w:p>
    <w:p w14:paraId="30D6A919" w14:textId="77777777" w:rsidR="003C347B" w:rsidRPr="003C347B" w:rsidRDefault="003C347B" w:rsidP="002C61AF">
      <w:pPr>
        <w:spacing w:before="240"/>
        <w:ind w:right="-4795"/>
        <w:jc w:val="both"/>
        <w:rPr>
          <w:rFonts w:ascii="Times New Roman" w:hAnsi="Times New Roman" w:cs="Times New Roman"/>
          <w:i/>
          <w:iCs/>
        </w:rPr>
      </w:pPr>
    </w:p>
    <w:sectPr w:rsidR="003C347B" w:rsidRPr="003C347B" w:rsidSect="002C61AF">
      <w:pgSz w:w="11906" w:h="16838" w:code="9"/>
      <w:pgMar w:top="1417" w:right="621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2C293" w14:textId="77777777" w:rsidR="005F7B5B" w:rsidRDefault="005F7B5B" w:rsidP="00DF15E3">
      <w:pPr>
        <w:spacing w:after="0" w:line="240" w:lineRule="auto"/>
      </w:pPr>
      <w:r>
        <w:separator/>
      </w:r>
    </w:p>
  </w:endnote>
  <w:endnote w:type="continuationSeparator" w:id="0">
    <w:p w14:paraId="31AF4722" w14:textId="77777777" w:rsidR="005F7B5B" w:rsidRDefault="005F7B5B" w:rsidP="00DF1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E5A76" w14:textId="77777777" w:rsidR="005F7B5B" w:rsidRDefault="005F7B5B" w:rsidP="00DF15E3">
      <w:pPr>
        <w:spacing w:after="0" w:line="240" w:lineRule="auto"/>
      </w:pPr>
      <w:r>
        <w:separator/>
      </w:r>
    </w:p>
  </w:footnote>
  <w:footnote w:type="continuationSeparator" w:id="0">
    <w:p w14:paraId="645DB06E" w14:textId="77777777" w:rsidR="005F7B5B" w:rsidRDefault="005F7B5B" w:rsidP="00DF1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7611D"/>
    <w:multiLevelType w:val="hybridMultilevel"/>
    <w:tmpl w:val="D35A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D20"/>
    <w:multiLevelType w:val="hybridMultilevel"/>
    <w:tmpl w:val="A94C3EE6"/>
    <w:lvl w:ilvl="0" w:tplc="DB8C42EE">
      <w:start w:val="2"/>
      <w:numFmt w:val="bullet"/>
      <w:lvlText w:val="-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636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605F62"/>
    <w:multiLevelType w:val="hybridMultilevel"/>
    <w:tmpl w:val="476A02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5">
      <w:start w:val="1"/>
      <w:numFmt w:val="upperLetter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A534F"/>
    <w:multiLevelType w:val="hybridMultilevel"/>
    <w:tmpl w:val="8F8684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A688D"/>
    <w:multiLevelType w:val="multilevel"/>
    <w:tmpl w:val="353CC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B1424F"/>
    <w:multiLevelType w:val="multilevel"/>
    <w:tmpl w:val="1C183666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7FA629B"/>
    <w:multiLevelType w:val="hybridMultilevel"/>
    <w:tmpl w:val="276A6E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829885">
    <w:abstractNumId w:val="2"/>
  </w:num>
  <w:num w:numId="2" w16cid:durableId="2099785812">
    <w:abstractNumId w:val="6"/>
  </w:num>
  <w:num w:numId="3" w16cid:durableId="372774369">
    <w:abstractNumId w:val="0"/>
  </w:num>
  <w:num w:numId="4" w16cid:durableId="235017142">
    <w:abstractNumId w:val="1"/>
  </w:num>
  <w:num w:numId="5" w16cid:durableId="667943087">
    <w:abstractNumId w:val="3"/>
  </w:num>
  <w:num w:numId="6" w16cid:durableId="1643928503">
    <w:abstractNumId w:val="7"/>
  </w:num>
  <w:num w:numId="7" w16cid:durableId="748843697">
    <w:abstractNumId w:val="4"/>
  </w:num>
  <w:num w:numId="8" w16cid:durableId="11419936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B"/>
    <w:rsid w:val="00017D38"/>
    <w:rsid w:val="000F1EE5"/>
    <w:rsid w:val="001708BA"/>
    <w:rsid w:val="001A6AAC"/>
    <w:rsid w:val="002011D4"/>
    <w:rsid w:val="002B0430"/>
    <w:rsid w:val="002C61AF"/>
    <w:rsid w:val="00360CDF"/>
    <w:rsid w:val="00362828"/>
    <w:rsid w:val="003B3819"/>
    <w:rsid w:val="003C347B"/>
    <w:rsid w:val="003C4CB3"/>
    <w:rsid w:val="004D6636"/>
    <w:rsid w:val="004E55A0"/>
    <w:rsid w:val="004F0228"/>
    <w:rsid w:val="00533513"/>
    <w:rsid w:val="005615B4"/>
    <w:rsid w:val="005F7B5B"/>
    <w:rsid w:val="0063284C"/>
    <w:rsid w:val="00645D31"/>
    <w:rsid w:val="0071611B"/>
    <w:rsid w:val="00762B7B"/>
    <w:rsid w:val="007A5A52"/>
    <w:rsid w:val="008A29F1"/>
    <w:rsid w:val="008E1813"/>
    <w:rsid w:val="009342AF"/>
    <w:rsid w:val="009C30F9"/>
    <w:rsid w:val="009E5E63"/>
    <w:rsid w:val="00A4310E"/>
    <w:rsid w:val="00B42C44"/>
    <w:rsid w:val="00BA4673"/>
    <w:rsid w:val="00BF3DBE"/>
    <w:rsid w:val="00C117D4"/>
    <w:rsid w:val="00C23E12"/>
    <w:rsid w:val="00C35CD0"/>
    <w:rsid w:val="00C541FF"/>
    <w:rsid w:val="00C91CE1"/>
    <w:rsid w:val="00CD7B88"/>
    <w:rsid w:val="00DF0EAB"/>
    <w:rsid w:val="00DF15E3"/>
    <w:rsid w:val="00E2667E"/>
    <w:rsid w:val="00EB05AB"/>
    <w:rsid w:val="00EC1D07"/>
    <w:rsid w:val="00EE4269"/>
    <w:rsid w:val="00EF0E00"/>
    <w:rsid w:val="00F02B19"/>
    <w:rsid w:val="00F30EBF"/>
    <w:rsid w:val="00F422E5"/>
    <w:rsid w:val="00F6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EE57"/>
  <w15:chartTrackingRefBased/>
  <w15:docId w15:val="{A3F55C7C-73A2-4D45-B035-6C31D5FE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11B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161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61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61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61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61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61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61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61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61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61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61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61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61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61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61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61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61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61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61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6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61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161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61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1611B"/>
    <w:rPr>
      <w:i/>
      <w:iCs/>
      <w:color w:val="404040" w:themeColor="text1" w:themeTint="BF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7161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161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61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61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611B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360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C34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34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347B"/>
    <w:rPr>
      <w:kern w:val="0"/>
      <w:sz w:val="20"/>
      <w:szCs w:val="20"/>
      <w14:ligatures w14:val="non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3C347B"/>
    <w:rPr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B05A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B05A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C30F9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5A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5A52"/>
    <w:rPr>
      <w:b/>
      <w:bCs/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DF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15E3"/>
    <w:rPr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DF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15E3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826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cp:keywords/>
  <dc:description/>
  <cp:lastModifiedBy>Mária Bosnovičová</cp:lastModifiedBy>
  <cp:revision>16</cp:revision>
  <dcterms:created xsi:type="dcterms:W3CDTF">2024-10-02T17:54:00Z</dcterms:created>
  <dcterms:modified xsi:type="dcterms:W3CDTF">2024-10-07T12:54:00Z</dcterms:modified>
</cp:coreProperties>
</file>